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BCBBB" w14:textId="77777777" w:rsidR="002B65B5" w:rsidRPr="000320B0" w:rsidRDefault="002B65B5" w:rsidP="000320B0">
      <w:pPr>
        <w:pStyle w:val="MDPI51figurecaption"/>
        <w:ind w:left="0"/>
        <w:rPr>
          <w:bCs/>
          <w:sz w:val="24"/>
          <w:szCs w:val="24"/>
        </w:rPr>
      </w:pPr>
      <w:bookmarkStart w:id="0" w:name="_Hlk148724935"/>
      <w:r w:rsidRPr="000320B0">
        <w:rPr>
          <w:b/>
          <w:sz w:val="24"/>
          <w:szCs w:val="24"/>
        </w:rPr>
        <w:t xml:space="preserve">Figure 1. </w:t>
      </w:r>
      <w:r w:rsidRPr="000320B0">
        <w:rPr>
          <w:bCs/>
          <w:sz w:val="24"/>
          <w:szCs w:val="24"/>
        </w:rPr>
        <w:t xml:space="preserve">Serrated-Leaf Birch and Non-Lobed-Leaf Mutant. A-B: Seedlings and branches of </w:t>
      </w:r>
      <w:r w:rsidRPr="000320B0">
        <w:rPr>
          <w:bCs/>
          <w:i/>
          <w:iCs/>
          <w:sz w:val="24"/>
          <w:szCs w:val="24"/>
        </w:rPr>
        <w:t>Betula pendula</w:t>
      </w:r>
      <w:r w:rsidRPr="000320B0">
        <w:rPr>
          <w:bCs/>
          <w:sz w:val="24"/>
          <w:szCs w:val="24"/>
        </w:rPr>
        <w:t xml:space="preserve"> '</w:t>
      </w:r>
      <w:proofErr w:type="spellStart"/>
      <w:r w:rsidRPr="000320B0">
        <w:rPr>
          <w:bCs/>
          <w:sz w:val="24"/>
          <w:szCs w:val="24"/>
        </w:rPr>
        <w:t>Dalecarlica</w:t>
      </w:r>
      <w:proofErr w:type="spellEnd"/>
      <w:r w:rsidRPr="000320B0">
        <w:rPr>
          <w:bCs/>
          <w:sz w:val="24"/>
          <w:szCs w:val="24"/>
        </w:rPr>
        <w:t>', identified as L72 (on the left), and its circular-leaf mutant Y72 (on the right).C: Leaves of L72 (at the top) and circular-leaf mutant Y72 (at the bottom), depicting the 1st (on the left), 2nd (in the middle), and 4th (on the right) leaves. Bar, 10 cm.</w:t>
      </w:r>
      <w:bookmarkEnd w:id="0"/>
    </w:p>
    <w:p w14:paraId="6B492A2B" w14:textId="77777777" w:rsidR="000320B0" w:rsidRPr="000320B0" w:rsidRDefault="000320B0" w:rsidP="000320B0">
      <w:pPr>
        <w:pStyle w:val="MDPI51figurecaption"/>
        <w:ind w:left="0"/>
        <w:rPr>
          <w:bCs/>
          <w:sz w:val="24"/>
          <w:szCs w:val="24"/>
        </w:rPr>
      </w:pPr>
      <w:r w:rsidRPr="000320B0">
        <w:rPr>
          <w:b/>
          <w:sz w:val="24"/>
          <w:szCs w:val="24"/>
        </w:rPr>
        <w:t xml:space="preserve">Figure 2. </w:t>
      </w:r>
      <w:r w:rsidRPr="000320B0">
        <w:rPr>
          <w:bCs/>
          <w:sz w:val="24"/>
          <w:szCs w:val="24"/>
        </w:rPr>
        <w:t>Transcriptome Sequencing Analysis. A, Volcano plot of differentially expressed genes. B, Enrichment results of downregulated differentially expressed genes in GO biological processes.</w:t>
      </w:r>
    </w:p>
    <w:p w14:paraId="535B438F" w14:textId="77777777" w:rsidR="000320B0" w:rsidRPr="000320B0" w:rsidRDefault="000320B0" w:rsidP="000320B0">
      <w:pPr>
        <w:pStyle w:val="MDPI51figurecaption"/>
        <w:ind w:left="0"/>
        <w:rPr>
          <w:snapToGrid w:val="0"/>
          <w:sz w:val="24"/>
          <w:szCs w:val="24"/>
        </w:rPr>
      </w:pPr>
      <w:r w:rsidRPr="000320B0">
        <w:rPr>
          <w:b/>
          <w:sz w:val="24"/>
          <w:szCs w:val="24"/>
        </w:rPr>
        <w:t xml:space="preserve">Figure 3. </w:t>
      </w:r>
      <w:r w:rsidRPr="000320B0">
        <w:rPr>
          <w:bCs/>
          <w:sz w:val="24"/>
          <w:szCs w:val="24"/>
        </w:rPr>
        <w:t>Whole-Genome Bisulfite Sequencing Results. A, Distribution of DNA methylation levels in gene and transposable element (TE) regions. B, Overall DNA meth</w:t>
      </w:r>
      <w:r w:rsidRPr="000320B0">
        <w:rPr>
          <w:bCs/>
          <w:snapToGrid w:val="0"/>
          <w:sz w:val="24"/>
          <w:szCs w:val="24"/>
        </w:rPr>
        <w:t>ylation levels in the whole genom</w:t>
      </w:r>
      <w:r w:rsidRPr="000320B0">
        <w:rPr>
          <w:snapToGrid w:val="0"/>
          <w:sz w:val="24"/>
          <w:szCs w:val="24"/>
        </w:rPr>
        <w:t>e. C, Venn diagram depicting overlap between differentially methylated sites and differentially expressed genes. D, Heatmap of gene family annotations and expression levels of key genes.</w:t>
      </w:r>
    </w:p>
    <w:p w14:paraId="65C371F0" w14:textId="77777777" w:rsidR="000320B0" w:rsidRPr="000320B0" w:rsidRDefault="000320B0" w:rsidP="000320B0">
      <w:pPr>
        <w:pStyle w:val="MDPI51figurecaption"/>
        <w:ind w:left="0"/>
        <w:rPr>
          <w:sz w:val="24"/>
          <w:szCs w:val="24"/>
        </w:rPr>
      </w:pPr>
      <w:r w:rsidRPr="000320B0">
        <w:rPr>
          <w:b/>
          <w:sz w:val="24"/>
          <w:szCs w:val="24"/>
        </w:rPr>
        <w:t>Figure 4.</w:t>
      </w:r>
      <w:r w:rsidRPr="000320B0">
        <w:rPr>
          <w:sz w:val="24"/>
          <w:szCs w:val="24"/>
        </w:rPr>
        <w:t xml:space="preserve"> DNA Methylation and Transcription Levels of </w:t>
      </w:r>
      <w:r w:rsidRPr="000320B0">
        <w:rPr>
          <w:i/>
          <w:iCs/>
          <w:sz w:val="24"/>
          <w:szCs w:val="24"/>
        </w:rPr>
        <w:t>BpIAA</w:t>
      </w:r>
      <w:r w:rsidRPr="000320B0">
        <w:rPr>
          <w:sz w:val="24"/>
          <w:szCs w:val="24"/>
        </w:rPr>
        <w:t xml:space="preserve">9. A, IGV (Integrative Genomics Viewer) representation of DNA methylation levels of </w:t>
      </w:r>
      <w:r w:rsidRPr="000320B0">
        <w:rPr>
          <w:i/>
          <w:iCs/>
          <w:sz w:val="24"/>
          <w:szCs w:val="24"/>
        </w:rPr>
        <w:t>BpIAA</w:t>
      </w:r>
      <w:r w:rsidRPr="000320B0">
        <w:rPr>
          <w:sz w:val="24"/>
          <w:szCs w:val="24"/>
        </w:rPr>
        <w:t xml:space="preserve">9 in serrated-leaf birch and non-lobed-leaf mutant. Green bars represent the methylation level of L72. Red bars represent the methylation level of Y72. B, </w:t>
      </w:r>
      <w:proofErr w:type="spellStart"/>
      <w:r w:rsidRPr="000320B0">
        <w:rPr>
          <w:sz w:val="24"/>
          <w:szCs w:val="24"/>
        </w:rPr>
        <w:t>McrBC</w:t>
      </w:r>
      <w:proofErr w:type="spellEnd"/>
      <w:r w:rsidRPr="000320B0">
        <w:rPr>
          <w:sz w:val="24"/>
          <w:szCs w:val="24"/>
        </w:rPr>
        <w:t xml:space="preserve">-PCR results, where '-' indicates PCR product bands from undigested DNA templates and '+' indicates PCR product bands from DNA templates digested with </w:t>
      </w:r>
      <w:proofErr w:type="spellStart"/>
      <w:r w:rsidRPr="000320B0">
        <w:rPr>
          <w:sz w:val="24"/>
          <w:szCs w:val="24"/>
        </w:rPr>
        <w:t>McrBC</w:t>
      </w:r>
      <w:proofErr w:type="spellEnd"/>
      <w:r w:rsidRPr="000320B0">
        <w:rPr>
          <w:sz w:val="24"/>
          <w:szCs w:val="24"/>
        </w:rPr>
        <w:t>. C, qPCR results of</w:t>
      </w:r>
      <w:r w:rsidRPr="000320B0">
        <w:rPr>
          <w:i/>
          <w:iCs/>
          <w:sz w:val="24"/>
          <w:szCs w:val="24"/>
        </w:rPr>
        <w:t xml:space="preserve"> BpIAA</w:t>
      </w:r>
      <w:r w:rsidRPr="000320B0">
        <w:rPr>
          <w:sz w:val="24"/>
          <w:szCs w:val="24"/>
        </w:rPr>
        <w:t>9 transcription levels, with '*' indicating statistically significant differences determined by t-test (P &lt; 0.05).</w:t>
      </w:r>
    </w:p>
    <w:p w14:paraId="05E001A5" w14:textId="77777777" w:rsidR="000320B0" w:rsidRPr="000320B0" w:rsidRDefault="000320B0" w:rsidP="000320B0">
      <w:pPr>
        <w:pStyle w:val="MDPI51figurecaption"/>
        <w:ind w:left="0"/>
        <w:rPr>
          <w:sz w:val="24"/>
          <w:szCs w:val="24"/>
        </w:rPr>
      </w:pPr>
      <w:r w:rsidRPr="000320B0">
        <w:rPr>
          <w:b/>
          <w:sz w:val="24"/>
          <w:szCs w:val="24"/>
        </w:rPr>
        <w:t xml:space="preserve">Figure 5. </w:t>
      </w:r>
      <w:r w:rsidRPr="000320B0">
        <w:rPr>
          <w:sz w:val="24"/>
          <w:szCs w:val="24"/>
        </w:rPr>
        <w:t xml:space="preserve">A schematic illustration of the proposed mechanism underlying the role of DNA methylation in altering the shape of birch leaves. The high methylation in the promoter region leads to decreased expression of </w:t>
      </w:r>
      <w:r w:rsidRPr="000320B0">
        <w:rPr>
          <w:i/>
          <w:iCs/>
          <w:sz w:val="24"/>
          <w:szCs w:val="24"/>
        </w:rPr>
        <w:t>BpIAA</w:t>
      </w:r>
      <w:r w:rsidRPr="000320B0">
        <w:rPr>
          <w:sz w:val="24"/>
          <w:szCs w:val="24"/>
        </w:rPr>
        <w:t>9 at the edge of the leaf primordia, thereby blocking the normal function of auxin, resulting in the elimination of the lobed leaf trait and the restoration of a round leaf shape.</w:t>
      </w:r>
    </w:p>
    <w:p w14:paraId="0F200865" w14:textId="77777777" w:rsidR="000320B0" w:rsidRPr="000320B0" w:rsidRDefault="000320B0" w:rsidP="000320B0">
      <w:pPr>
        <w:pStyle w:val="MDPI62BackMatter"/>
        <w:spacing w:before="120" w:after="240"/>
        <w:ind w:left="0"/>
        <w:rPr>
          <w:b/>
          <w:sz w:val="24"/>
          <w:szCs w:val="24"/>
        </w:rPr>
      </w:pPr>
      <w:r w:rsidRPr="000320B0">
        <w:rPr>
          <w:b/>
          <w:bCs/>
          <w:sz w:val="24"/>
          <w:szCs w:val="24"/>
        </w:rPr>
        <w:t>Supplementary Figure 1.</w:t>
      </w:r>
      <w:r w:rsidRPr="000320B0">
        <w:rPr>
          <w:sz w:val="24"/>
          <w:szCs w:val="24"/>
        </w:rPr>
        <w:t xml:space="preserve"> The principal component analysis results for biological replicates of transcriptome sequencing.</w:t>
      </w:r>
    </w:p>
    <w:p w14:paraId="62348172" w14:textId="2D9F8C22" w:rsidR="001D1CAB" w:rsidRPr="000320B0" w:rsidRDefault="002B65B5">
      <w:pPr>
        <w:rPr>
          <w:sz w:val="24"/>
          <w:szCs w:val="24"/>
        </w:rPr>
      </w:pPr>
      <w:r w:rsidRPr="000320B0">
        <w:rPr>
          <w:sz w:val="24"/>
          <w:szCs w:val="2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0320B0">
        <w:rPr>
          <w:sz w:val="24"/>
          <w:szCs w:val="24"/>
        </w:rPr>
        <w:instrText>ADDIN CNKISM.UserStyle</w:instrText>
      </w:r>
      <w:r w:rsidRPr="000320B0">
        <w:rPr>
          <w:sz w:val="24"/>
          <w:szCs w:val="24"/>
        </w:rPr>
      </w:r>
      <w:r w:rsidRPr="000320B0">
        <w:rPr>
          <w:sz w:val="24"/>
          <w:szCs w:val="24"/>
        </w:rPr>
        <w:fldChar w:fldCharType="separate"/>
      </w:r>
      <w:r w:rsidRPr="000320B0">
        <w:rPr>
          <w:sz w:val="24"/>
          <w:szCs w:val="24"/>
        </w:rPr>
        <w:fldChar w:fldCharType="end"/>
      </w:r>
    </w:p>
    <w:sectPr w:rsidR="001D1CAB" w:rsidRPr="000320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64EE" w14:textId="77777777" w:rsidR="00DD1808" w:rsidRDefault="00DD1808" w:rsidP="002B65B5">
      <w:r>
        <w:separator/>
      </w:r>
    </w:p>
  </w:endnote>
  <w:endnote w:type="continuationSeparator" w:id="0">
    <w:p w14:paraId="71490755" w14:textId="77777777" w:rsidR="00DD1808" w:rsidRDefault="00DD1808" w:rsidP="002B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EDB21" w14:textId="77777777" w:rsidR="00DD1808" w:rsidRDefault="00DD1808" w:rsidP="002B65B5">
      <w:r>
        <w:separator/>
      </w:r>
    </w:p>
  </w:footnote>
  <w:footnote w:type="continuationSeparator" w:id="0">
    <w:p w14:paraId="40330545" w14:textId="77777777" w:rsidR="00DD1808" w:rsidRDefault="00DD1808" w:rsidP="002B65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608AC"/>
    <w:rsid w:val="000320B0"/>
    <w:rsid w:val="001D1CAB"/>
    <w:rsid w:val="002B65B5"/>
    <w:rsid w:val="005608AC"/>
    <w:rsid w:val="00DD1808"/>
    <w:rsid w:val="00FF1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94778"/>
  <w15:chartTrackingRefBased/>
  <w15:docId w15:val="{A0A0157C-68C2-45C5-9CD0-9C4E6A9C7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65B5"/>
    <w:pPr>
      <w:tabs>
        <w:tab w:val="center" w:pos="4153"/>
        <w:tab w:val="right" w:pos="8306"/>
      </w:tabs>
      <w:snapToGrid w:val="0"/>
      <w:jc w:val="center"/>
    </w:pPr>
    <w:rPr>
      <w:sz w:val="18"/>
      <w:szCs w:val="18"/>
    </w:rPr>
  </w:style>
  <w:style w:type="character" w:customStyle="1" w:styleId="a4">
    <w:name w:val="页眉 字符"/>
    <w:basedOn w:val="a0"/>
    <w:link w:val="a3"/>
    <w:uiPriority w:val="99"/>
    <w:rsid w:val="002B65B5"/>
    <w:rPr>
      <w:sz w:val="18"/>
      <w:szCs w:val="18"/>
    </w:rPr>
  </w:style>
  <w:style w:type="paragraph" w:styleId="a5">
    <w:name w:val="footer"/>
    <w:basedOn w:val="a"/>
    <w:link w:val="a6"/>
    <w:uiPriority w:val="99"/>
    <w:unhideWhenUsed/>
    <w:rsid w:val="002B65B5"/>
    <w:pPr>
      <w:tabs>
        <w:tab w:val="center" w:pos="4153"/>
        <w:tab w:val="right" w:pos="8306"/>
      </w:tabs>
      <w:snapToGrid w:val="0"/>
      <w:jc w:val="left"/>
    </w:pPr>
    <w:rPr>
      <w:sz w:val="18"/>
      <w:szCs w:val="18"/>
    </w:rPr>
  </w:style>
  <w:style w:type="character" w:customStyle="1" w:styleId="a6">
    <w:name w:val="页脚 字符"/>
    <w:basedOn w:val="a0"/>
    <w:link w:val="a5"/>
    <w:uiPriority w:val="99"/>
    <w:rsid w:val="002B65B5"/>
    <w:rPr>
      <w:sz w:val="18"/>
      <w:szCs w:val="18"/>
    </w:rPr>
  </w:style>
  <w:style w:type="paragraph" w:customStyle="1" w:styleId="MDPI51figurecaption">
    <w:name w:val="MDPI_5.1_figure_caption"/>
    <w:qFormat/>
    <w:rsid w:val="002B65B5"/>
    <w:pPr>
      <w:adjustRightInd w:val="0"/>
      <w:snapToGrid w:val="0"/>
      <w:spacing w:before="120" w:after="240" w:line="228" w:lineRule="auto"/>
      <w:ind w:left="2608"/>
      <w:jc w:val="both"/>
    </w:pPr>
    <w:rPr>
      <w:rFonts w:ascii="Palatino Linotype" w:eastAsia="Times New Roman" w:hAnsi="Palatino Linotype" w:cs="Times New Roman"/>
      <w:color w:val="000000"/>
      <w:kern w:val="0"/>
      <w:sz w:val="18"/>
      <w:szCs w:val="20"/>
      <w:lang w:eastAsia="de-DE" w:bidi="en-US"/>
    </w:rPr>
  </w:style>
  <w:style w:type="paragraph" w:customStyle="1" w:styleId="MDPI62BackMatter">
    <w:name w:val="MDPI_6.2_BackMatter"/>
    <w:qFormat/>
    <w:rsid w:val="000320B0"/>
    <w:pPr>
      <w:adjustRightInd w:val="0"/>
      <w:snapToGrid w:val="0"/>
      <w:spacing w:after="120" w:line="228" w:lineRule="auto"/>
      <w:ind w:left="2608"/>
      <w:jc w:val="both"/>
    </w:pPr>
    <w:rPr>
      <w:rFonts w:ascii="Palatino Linotype" w:eastAsia="Times New Roman" w:hAnsi="Palatino Linotype" w:cs="Times New Roman"/>
      <w:snapToGrid w:val="0"/>
      <w:color w:val="000000"/>
      <w:kern w:val="0"/>
      <w:sz w:val="18"/>
      <w:szCs w:val="2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313</Words>
  <Characters>1787</Characters>
  <Application>Microsoft Office Word</Application>
  <DocSecurity>0</DocSecurity>
  <Lines>14</Lines>
  <Paragraphs>4</Paragraphs>
  <ScaleCrop>false</ScaleCrop>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2023-11-10T13:53:00Z</dcterms:created>
  <dcterms:modified xsi:type="dcterms:W3CDTF">2023-11-10T14:09:00Z</dcterms:modified>
</cp:coreProperties>
</file>